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86F9C" w14:textId="6F39B586" w:rsidR="00EC544D" w:rsidRPr="003662B1" w:rsidRDefault="003662B1" w:rsidP="003662B1">
      <w:pPr>
        <w:jc w:val="center"/>
        <w:rPr>
          <w:sz w:val="28"/>
          <w:szCs w:val="28"/>
        </w:rPr>
      </w:pPr>
      <w:r w:rsidRPr="003662B1">
        <w:rPr>
          <w:noProof/>
          <w:sz w:val="28"/>
          <w:szCs w:val="28"/>
          <w:lang w:eastAsia="en-GB"/>
        </w:rPr>
        <w:drawing>
          <wp:anchor distT="0" distB="0" distL="114300" distR="114300" simplePos="0" relativeHeight="251658240" behindDoc="0" locked="0" layoutInCell="1" allowOverlap="1" wp14:anchorId="21452B72" wp14:editId="55183908">
            <wp:simplePos x="0" y="0"/>
            <wp:positionH relativeFrom="margin">
              <wp:posOffset>-586418</wp:posOffset>
            </wp:positionH>
            <wp:positionV relativeFrom="paragraph">
              <wp:posOffset>-640990</wp:posOffset>
            </wp:positionV>
            <wp:extent cx="2183642" cy="44079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A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642" cy="440797"/>
                    </a:xfrm>
                    <a:prstGeom prst="rect">
                      <a:avLst/>
                    </a:prstGeom>
                  </pic:spPr>
                </pic:pic>
              </a:graphicData>
            </a:graphic>
            <wp14:sizeRelH relativeFrom="margin">
              <wp14:pctWidth>0</wp14:pctWidth>
            </wp14:sizeRelH>
            <wp14:sizeRelV relativeFrom="margin">
              <wp14:pctHeight>0</wp14:pctHeight>
            </wp14:sizeRelV>
          </wp:anchor>
        </w:drawing>
      </w:r>
      <w:r w:rsidRPr="003662B1">
        <w:rPr>
          <w:noProof/>
          <w:sz w:val="28"/>
          <w:szCs w:val="28"/>
          <w:lang w:eastAsia="en-GB"/>
        </w:rPr>
        <w:drawing>
          <wp:anchor distT="0" distB="0" distL="114300" distR="114300" simplePos="0" relativeHeight="251659264" behindDoc="0" locked="0" layoutInCell="1" allowOverlap="1" wp14:anchorId="27C98FF7" wp14:editId="7650258B">
            <wp:simplePos x="0" y="0"/>
            <wp:positionH relativeFrom="column">
              <wp:posOffset>7942997</wp:posOffset>
            </wp:positionH>
            <wp:positionV relativeFrom="paragraph">
              <wp:posOffset>-668740</wp:posOffset>
            </wp:positionV>
            <wp:extent cx="1452292" cy="60889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 Logo.png"/>
                    <pic:cNvPicPr/>
                  </pic:nvPicPr>
                  <pic:blipFill>
                    <a:blip r:embed="rId8">
                      <a:extLst>
                        <a:ext uri="{28A0092B-C50C-407E-A947-70E740481C1C}">
                          <a14:useLocalDpi xmlns:a14="http://schemas.microsoft.com/office/drawing/2010/main" val="0"/>
                        </a:ext>
                      </a:extLst>
                    </a:blip>
                    <a:stretch>
                      <a:fillRect/>
                    </a:stretch>
                  </pic:blipFill>
                  <pic:spPr>
                    <a:xfrm>
                      <a:off x="0" y="0"/>
                      <a:ext cx="1490542" cy="624932"/>
                    </a:xfrm>
                    <a:prstGeom prst="rect">
                      <a:avLst/>
                    </a:prstGeom>
                  </pic:spPr>
                </pic:pic>
              </a:graphicData>
            </a:graphic>
            <wp14:sizeRelH relativeFrom="margin">
              <wp14:pctWidth>0</wp14:pctWidth>
            </wp14:sizeRelH>
            <wp14:sizeRelV relativeFrom="margin">
              <wp14:pctHeight>0</wp14:pctHeight>
            </wp14:sizeRelV>
          </wp:anchor>
        </w:drawing>
      </w:r>
      <w:r w:rsidR="00616E2F" w:rsidRPr="003662B1">
        <w:rPr>
          <w:b/>
          <w:sz w:val="28"/>
          <w:szCs w:val="28"/>
          <w:u w:val="single"/>
        </w:rPr>
        <w:t>Core duties</w:t>
      </w:r>
      <w:r w:rsidR="00163808">
        <w:rPr>
          <w:b/>
          <w:sz w:val="28"/>
          <w:szCs w:val="28"/>
          <w:u w:val="single"/>
        </w:rPr>
        <w:t xml:space="preserve"> on Transition</w:t>
      </w:r>
      <w:r w:rsidR="00616E2F" w:rsidRPr="003662B1">
        <w:rPr>
          <w:b/>
          <w:sz w:val="28"/>
          <w:szCs w:val="28"/>
          <w:u w:val="single"/>
        </w:rPr>
        <w:t xml:space="preserve"> for Greater Manchester partnership boards</w:t>
      </w:r>
      <w:bookmarkStart w:id="0" w:name="_GoBack"/>
      <w:bookmarkEnd w:id="0"/>
    </w:p>
    <w:tbl>
      <w:tblPr>
        <w:tblStyle w:val="TableGrid"/>
        <w:tblpPr w:leftFromText="180" w:rightFromText="180" w:vertAnchor="text" w:horzAnchor="margin" w:tblpXSpec="center" w:tblpY="281"/>
        <w:tblW w:w="15593" w:type="dxa"/>
        <w:tblLook w:val="04A0" w:firstRow="1" w:lastRow="0" w:firstColumn="1" w:lastColumn="0" w:noHBand="0" w:noVBand="1"/>
      </w:tblPr>
      <w:tblGrid>
        <w:gridCol w:w="4532"/>
        <w:gridCol w:w="5528"/>
        <w:gridCol w:w="4389"/>
        <w:gridCol w:w="1144"/>
      </w:tblGrid>
      <w:tr w:rsidR="003662B1" w14:paraId="0A4D7E34" w14:textId="77777777" w:rsidTr="0069579D">
        <w:tc>
          <w:tcPr>
            <w:tcW w:w="4532" w:type="dxa"/>
          </w:tcPr>
          <w:p w14:paraId="111572C0" w14:textId="77777777" w:rsidR="003662B1" w:rsidRPr="0069579D" w:rsidRDefault="003662B1" w:rsidP="003662B1">
            <w:pPr>
              <w:jc w:val="center"/>
              <w:rPr>
                <w:b/>
                <w:sz w:val="20"/>
                <w:szCs w:val="20"/>
              </w:rPr>
            </w:pPr>
          </w:p>
          <w:p w14:paraId="7EDFF4E8" w14:textId="77777777" w:rsidR="003662B1" w:rsidRPr="0069579D" w:rsidRDefault="003662B1" w:rsidP="003662B1">
            <w:pPr>
              <w:jc w:val="center"/>
              <w:rPr>
                <w:b/>
                <w:sz w:val="20"/>
                <w:szCs w:val="20"/>
              </w:rPr>
            </w:pPr>
            <w:r w:rsidRPr="0069579D">
              <w:rPr>
                <w:b/>
                <w:sz w:val="20"/>
                <w:szCs w:val="20"/>
              </w:rPr>
              <w:t>Duty</w:t>
            </w:r>
          </w:p>
        </w:tc>
        <w:tc>
          <w:tcPr>
            <w:tcW w:w="5528" w:type="dxa"/>
          </w:tcPr>
          <w:p w14:paraId="70C35B38" w14:textId="77777777" w:rsidR="003662B1" w:rsidRPr="0069579D" w:rsidRDefault="003662B1" w:rsidP="003662B1">
            <w:pPr>
              <w:jc w:val="center"/>
              <w:rPr>
                <w:b/>
                <w:sz w:val="20"/>
                <w:szCs w:val="20"/>
              </w:rPr>
            </w:pPr>
          </w:p>
          <w:p w14:paraId="118F65C3" w14:textId="77777777" w:rsidR="003662B1" w:rsidRPr="0069579D" w:rsidRDefault="003662B1" w:rsidP="003662B1">
            <w:pPr>
              <w:jc w:val="center"/>
              <w:rPr>
                <w:b/>
                <w:sz w:val="20"/>
                <w:szCs w:val="20"/>
              </w:rPr>
            </w:pPr>
            <w:r w:rsidRPr="0069579D">
              <w:rPr>
                <w:b/>
                <w:sz w:val="20"/>
                <w:szCs w:val="20"/>
              </w:rPr>
              <w:t>GMAC Actions</w:t>
            </w:r>
          </w:p>
        </w:tc>
        <w:tc>
          <w:tcPr>
            <w:tcW w:w="4389" w:type="dxa"/>
          </w:tcPr>
          <w:p w14:paraId="453FAB67" w14:textId="77777777" w:rsidR="003662B1" w:rsidRPr="0069579D" w:rsidRDefault="003662B1" w:rsidP="003662B1">
            <w:pPr>
              <w:jc w:val="center"/>
              <w:rPr>
                <w:b/>
                <w:sz w:val="20"/>
                <w:szCs w:val="20"/>
              </w:rPr>
            </w:pPr>
          </w:p>
          <w:p w14:paraId="369F65C9" w14:textId="77777777" w:rsidR="003662B1" w:rsidRPr="0069579D" w:rsidRDefault="003662B1" w:rsidP="003662B1">
            <w:pPr>
              <w:jc w:val="center"/>
              <w:rPr>
                <w:b/>
                <w:sz w:val="20"/>
                <w:szCs w:val="20"/>
              </w:rPr>
            </w:pPr>
            <w:r w:rsidRPr="0069579D">
              <w:rPr>
                <w:b/>
                <w:sz w:val="20"/>
                <w:szCs w:val="20"/>
              </w:rPr>
              <w:t>LA actions</w:t>
            </w:r>
          </w:p>
        </w:tc>
        <w:tc>
          <w:tcPr>
            <w:tcW w:w="1144" w:type="dxa"/>
          </w:tcPr>
          <w:p w14:paraId="1C10A1EB" w14:textId="77777777" w:rsidR="003662B1" w:rsidRPr="0069579D" w:rsidRDefault="003662B1" w:rsidP="003662B1">
            <w:pPr>
              <w:jc w:val="center"/>
              <w:rPr>
                <w:b/>
                <w:sz w:val="20"/>
                <w:szCs w:val="20"/>
              </w:rPr>
            </w:pPr>
            <w:r w:rsidRPr="0069579D">
              <w:rPr>
                <w:b/>
                <w:sz w:val="20"/>
                <w:szCs w:val="20"/>
              </w:rPr>
              <w:t xml:space="preserve">Autism Act compliant? </w:t>
            </w:r>
          </w:p>
          <w:p w14:paraId="45207C4D" w14:textId="77777777" w:rsidR="003662B1" w:rsidRPr="0069579D" w:rsidRDefault="003662B1" w:rsidP="003662B1">
            <w:pPr>
              <w:jc w:val="center"/>
              <w:rPr>
                <w:sz w:val="20"/>
                <w:szCs w:val="20"/>
              </w:rPr>
            </w:pPr>
            <w:r w:rsidRPr="0069579D">
              <w:rPr>
                <w:rFonts w:ascii="Segoe UI Symbol" w:hAnsi="Segoe UI Symbol" w:cs="Segoe UI Symbol"/>
                <w:color w:val="2F2F2F"/>
                <w:sz w:val="20"/>
                <w:szCs w:val="20"/>
                <w:shd w:val="clear" w:color="auto" w:fill="FFFFFF"/>
              </w:rPr>
              <w:t>✔X</w:t>
            </w:r>
          </w:p>
        </w:tc>
      </w:tr>
      <w:tr w:rsidR="003662B1" w14:paraId="613B669A" w14:textId="77777777" w:rsidTr="0069579D">
        <w:tc>
          <w:tcPr>
            <w:tcW w:w="4532" w:type="dxa"/>
          </w:tcPr>
          <w:p w14:paraId="19903005" w14:textId="4B8EEF0E" w:rsidR="00434103" w:rsidRDefault="00434103" w:rsidP="00434103">
            <w:pPr>
              <w:pStyle w:val="NormalWeb"/>
              <w:spacing w:before="200" w:beforeAutospacing="0" w:after="0" w:afterAutospacing="0" w:line="216" w:lineRule="auto"/>
              <w:rPr>
                <w:rFonts w:asciiTheme="minorHAnsi" w:hAnsiTheme="minorHAnsi" w:cstheme="minorHAnsi"/>
                <w:b/>
                <w:sz w:val="20"/>
                <w:szCs w:val="20"/>
              </w:rPr>
            </w:pPr>
            <w:r w:rsidRPr="0055147A">
              <w:rPr>
                <w:rFonts w:asciiTheme="minorHAnsi" w:hAnsiTheme="minorHAnsi" w:cstheme="minorHAnsi"/>
                <w:b/>
                <w:sz w:val="20"/>
                <w:szCs w:val="20"/>
              </w:rPr>
              <w:t>The principles set out in the chapter</w:t>
            </w:r>
            <w:r>
              <w:rPr>
                <w:rFonts w:asciiTheme="minorHAnsi" w:hAnsiTheme="minorHAnsi" w:cstheme="minorHAnsi"/>
                <w:b/>
                <w:sz w:val="20"/>
                <w:szCs w:val="20"/>
              </w:rPr>
              <w:t xml:space="preserve"> (Chapter 8 of the SEN Code of practice 0-25)</w:t>
            </w:r>
            <w:r w:rsidRPr="0055147A">
              <w:rPr>
                <w:rFonts w:asciiTheme="minorHAnsi" w:hAnsiTheme="minorHAnsi" w:cstheme="minorHAnsi"/>
                <w:b/>
                <w:sz w:val="20"/>
                <w:szCs w:val="20"/>
              </w:rPr>
              <w:t xml:space="preserve"> apply to all young people with SEN or disabilities, except where it states they are for those with Education, Health and Care (EHC) plans only</w:t>
            </w:r>
          </w:p>
          <w:p w14:paraId="4575D19D" w14:textId="5C297E9E" w:rsidR="00434103" w:rsidRPr="00434103" w:rsidRDefault="00434103" w:rsidP="00434103">
            <w:pPr>
              <w:pStyle w:val="NormalWeb"/>
              <w:spacing w:before="200" w:beforeAutospacing="0" w:after="0" w:afterAutospacing="0" w:line="216" w:lineRule="auto"/>
              <w:rPr>
                <w:rFonts w:asciiTheme="minorHAnsi" w:hAnsiTheme="minorHAnsi" w:cstheme="minorHAnsi"/>
                <w:sz w:val="20"/>
                <w:szCs w:val="20"/>
              </w:rPr>
            </w:pPr>
            <w:r w:rsidRPr="00434103">
              <w:rPr>
                <w:rFonts w:asciiTheme="minorHAnsi" w:hAnsiTheme="minorHAnsi" w:cstheme="minorHAnsi"/>
                <w:sz w:val="20"/>
                <w:szCs w:val="20"/>
              </w:rPr>
              <w:t>Do your transition processes and services include those without an EHC?</w:t>
            </w:r>
            <w:r w:rsidR="00472A1F">
              <w:rPr>
                <w:rFonts w:asciiTheme="minorHAnsi" w:hAnsiTheme="minorHAnsi" w:cstheme="minorHAnsi"/>
                <w:sz w:val="20"/>
                <w:szCs w:val="20"/>
              </w:rPr>
              <w:t xml:space="preserve"> If so how do people know about this?</w:t>
            </w:r>
          </w:p>
          <w:p w14:paraId="59EF3767" w14:textId="5D4D4F70" w:rsidR="003662B1" w:rsidRPr="00A4666C" w:rsidRDefault="003662B1" w:rsidP="003662B1">
            <w:pPr>
              <w:rPr>
                <w:b/>
                <w:sz w:val="20"/>
                <w:szCs w:val="20"/>
              </w:rPr>
            </w:pPr>
          </w:p>
        </w:tc>
        <w:tc>
          <w:tcPr>
            <w:tcW w:w="5528" w:type="dxa"/>
          </w:tcPr>
          <w:p w14:paraId="492D5232" w14:textId="3ACEEB25" w:rsidR="003662B1" w:rsidRPr="00A4666C" w:rsidRDefault="003662B1" w:rsidP="003662B1">
            <w:pPr>
              <w:rPr>
                <w:sz w:val="20"/>
                <w:szCs w:val="20"/>
              </w:rPr>
            </w:pPr>
          </w:p>
        </w:tc>
        <w:tc>
          <w:tcPr>
            <w:tcW w:w="4389" w:type="dxa"/>
          </w:tcPr>
          <w:p w14:paraId="6AB71197" w14:textId="77777777" w:rsidR="003662B1" w:rsidRDefault="003662B1" w:rsidP="003662B1"/>
        </w:tc>
        <w:tc>
          <w:tcPr>
            <w:tcW w:w="1144" w:type="dxa"/>
          </w:tcPr>
          <w:p w14:paraId="0C2ACE5C" w14:textId="77777777" w:rsidR="003662B1" w:rsidRDefault="003662B1" w:rsidP="003662B1"/>
        </w:tc>
      </w:tr>
      <w:tr w:rsidR="003662B1" w14:paraId="118B5855" w14:textId="77777777" w:rsidTr="0069579D">
        <w:tc>
          <w:tcPr>
            <w:tcW w:w="4532" w:type="dxa"/>
          </w:tcPr>
          <w:p w14:paraId="244F2EE7" w14:textId="2D18B0E7" w:rsidR="00434103" w:rsidRPr="00434103" w:rsidRDefault="00434103" w:rsidP="00434103">
            <w:pPr>
              <w:rPr>
                <w:b/>
                <w:sz w:val="20"/>
                <w:szCs w:val="20"/>
              </w:rPr>
            </w:pPr>
            <w:r w:rsidRPr="00434103">
              <w:rPr>
                <w:b/>
                <w:sz w:val="20"/>
                <w:szCs w:val="20"/>
              </w:rPr>
              <w:t>Those principles are that preparing for adulthood means the following things</w:t>
            </w:r>
            <w:r w:rsidRPr="00434103">
              <w:rPr>
                <w:sz w:val="20"/>
                <w:szCs w:val="20"/>
              </w:rPr>
              <w:t>;</w:t>
            </w:r>
            <w:r>
              <w:rPr>
                <w:sz w:val="20"/>
                <w:szCs w:val="20"/>
              </w:rPr>
              <w:t xml:space="preserve"> </w:t>
            </w:r>
            <w:r w:rsidRPr="00434103">
              <w:rPr>
                <w:b/>
                <w:sz w:val="20"/>
                <w:szCs w:val="20"/>
              </w:rPr>
              <w:t>higher education and employment, independent living, participation in society and being healthy</w:t>
            </w:r>
          </w:p>
          <w:p w14:paraId="7816DE26" w14:textId="205542E1" w:rsidR="003662B1" w:rsidRDefault="003662B1" w:rsidP="003662B1">
            <w:pPr>
              <w:contextualSpacing/>
              <w:rPr>
                <w:b/>
                <w:sz w:val="20"/>
                <w:szCs w:val="20"/>
              </w:rPr>
            </w:pPr>
          </w:p>
          <w:p w14:paraId="01F37AF3" w14:textId="0BEF73BD" w:rsidR="00434103" w:rsidRPr="00434103" w:rsidRDefault="00434103" w:rsidP="003662B1">
            <w:pPr>
              <w:contextualSpacing/>
              <w:rPr>
                <w:sz w:val="20"/>
                <w:szCs w:val="20"/>
              </w:rPr>
            </w:pPr>
            <w:r>
              <w:rPr>
                <w:sz w:val="20"/>
                <w:szCs w:val="20"/>
              </w:rPr>
              <w:t>How do you prepare young people with autism for those areas?</w:t>
            </w:r>
          </w:p>
          <w:p w14:paraId="3EDC1137" w14:textId="27475F11" w:rsidR="00434103" w:rsidRPr="00A4666C" w:rsidRDefault="00434103" w:rsidP="003662B1">
            <w:pPr>
              <w:contextualSpacing/>
              <w:rPr>
                <w:b/>
                <w:sz w:val="20"/>
                <w:szCs w:val="20"/>
              </w:rPr>
            </w:pPr>
          </w:p>
        </w:tc>
        <w:tc>
          <w:tcPr>
            <w:tcW w:w="5528" w:type="dxa"/>
          </w:tcPr>
          <w:p w14:paraId="02DCBF5E" w14:textId="77777777" w:rsidR="003662B1" w:rsidRDefault="003662B1" w:rsidP="003662B1">
            <w:pPr>
              <w:rPr>
                <w:sz w:val="20"/>
                <w:szCs w:val="20"/>
              </w:rPr>
            </w:pPr>
          </w:p>
          <w:p w14:paraId="1B8D3AB5" w14:textId="10C1F11E" w:rsidR="00434103" w:rsidRPr="00A4666C" w:rsidRDefault="00434103" w:rsidP="003662B1">
            <w:pPr>
              <w:rPr>
                <w:sz w:val="20"/>
                <w:szCs w:val="20"/>
              </w:rPr>
            </w:pPr>
            <w:r>
              <w:rPr>
                <w:sz w:val="20"/>
                <w:szCs w:val="20"/>
              </w:rPr>
              <w:t>GMAC have developed Growing up with Autism in GM to help with this</w:t>
            </w:r>
          </w:p>
        </w:tc>
        <w:tc>
          <w:tcPr>
            <w:tcW w:w="4389" w:type="dxa"/>
          </w:tcPr>
          <w:p w14:paraId="1411EF6C" w14:textId="77777777" w:rsidR="003662B1" w:rsidRDefault="003662B1" w:rsidP="003662B1"/>
        </w:tc>
        <w:tc>
          <w:tcPr>
            <w:tcW w:w="1144" w:type="dxa"/>
          </w:tcPr>
          <w:p w14:paraId="0F1AC885" w14:textId="77777777" w:rsidR="003662B1" w:rsidRDefault="003662B1" w:rsidP="003662B1"/>
        </w:tc>
      </w:tr>
      <w:tr w:rsidR="003662B1" w14:paraId="75F90DC9" w14:textId="77777777" w:rsidTr="0069579D">
        <w:tc>
          <w:tcPr>
            <w:tcW w:w="4532" w:type="dxa"/>
          </w:tcPr>
          <w:p w14:paraId="29C86955" w14:textId="7C79FC58" w:rsidR="003662B1" w:rsidRPr="00A4666C" w:rsidRDefault="00434103" w:rsidP="003662B1">
            <w:pPr>
              <w:contextualSpacing/>
              <w:rPr>
                <w:b/>
                <w:sz w:val="20"/>
                <w:szCs w:val="20"/>
              </w:rPr>
            </w:pPr>
            <w:r w:rsidRPr="005F63E1">
              <w:rPr>
                <w:rFonts w:cstheme="minorHAnsi"/>
                <w:b/>
                <w:sz w:val="20"/>
                <w:szCs w:val="20"/>
              </w:rPr>
              <w:t>Local authorities must ensure that the EHC review at Year 9, and every review thereafter, includes a focus on preparing for adulthood</w:t>
            </w:r>
          </w:p>
        </w:tc>
        <w:tc>
          <w:tcPr>
            <w:tcW w:w="5528" w:type="dxa"/>
          </w:tcPr>
          <w:p w14:paraId="087D9B0E" w14:textId="2F1FC0D6" w:rsidR="003662B1" w:rsidRPr="00A4666C" w:rsidRDefault="003662B1" w:rsidP="003662B1">
            <w:pPr>
              <w:rPr>
                <w:sz w:val="20"/>
                <w:szCs w:val="20"/>
              </w:rPr>
            </w:pPr>
          </w:p>
        </w:tc>
        <w:tc>
          <w:tcPr>
            <w:tcW w:w="4389" w:type="dxa"/>
          </w:tcPr>
          <w:p w14:paraId="55B20BE7" w14:textId="77777777" w:rsidR="003662B1" w:rsidRDefault="003662B1" w:rsidP="003662B1"/>
        </w:tc>
        <w:tc>
          <w:tcPr>
            <w:tcW w:w="1144" w:type="dxa"/>
          </w:tcPr>
          <w:p w14:paraId="2A7F7004" w14:textId="77777777" w:rsidR="003662B1" w:rsidRDefault="003662B1" w:rsidP="003662B1"/>
        </w:tc>
      </w:tr>
      <w:tr w:rsidR="003662B1" w14:paraId="59D46D62" w14:textId="77777777" w:rsidTr="0069579D">
        <w:tc>
          <w:tcPr>
            <w:tcW w:w="4532" w:type="dxa"/>
          </w:tcPr>
          <w:p w14:paraId="6E92CB08" w14:textId="7FAF0166" w:rsidR="003662B1" w:rsidRPr="00A4666C" w:rsidRDefault="00434103" w:rsidP="003662B1">
            <w:pPr>
              <w:rPr>
                <w:b/>
                <w:sz w:val="20"/>
                <w:szCs w:val="20"/>
              </w:rPr>
            </w:pPr>
            <w:r w:rsidRPr="005F63E1">
              <w:rPr>
                <w:rFonts w:cstheme="minorHAnsi"/>
                <w:b/>
                <w:sz w:val="20"/>
                <w:szCs w:val="20"/>
              </w:rPr>
              <w:t>Local authorities must ensure that the EHC review at Year 9, and every review thereafter, includes a focus on preparing for adulthood</w:t>
            </w:r>
          </w:p>
        </w:tc>
        <w:tc>
          <w:tcPr>
            <w:tcW w:w="5528" w:type="dxa"/>
          </w:tcPr>
          <w:p w14:paraId="1083EB38" w14:textId="77777777" w:rsidR="003662B1" w:rsidRPr="00A4666C" w:rsidRDefault="003662B1" w:rsidP="003662B1">
            <w:pPr>
              <w:rPr>
                <w:sz w:val="20"/>
                <w:szCs w:val="20"/>
              </w:rPr>
            </w:pPr>
          </w:p>
        </w:tc>
        <w:tc>
          <w:tcPr>
            <w:tcW w:w="4389" w:type="dxa"/>
          </w:tcPr>
          <w:p w14:paraId="2FE379D1" w14:textId="77777777" w:rsidR="003662B1" w:rsidRDefault="003662B1" w:rsidP="003662B1"/>
        </w:tc>
        <w:tc>
          <w:tcPr>
            <w:tcW w:w="1144" w:type="dxa"/>
          </w:tcPr>
          <w:p w14:paraId="44C522CA" w14:textId="77777777" w:rsidR="003662B1" w:rsidRDefault="003662B1" w:rsidP="003662B1"/>
        </w:tc>
      </w:tr>
      <w:tr w:rsidR="003662B1" w14:paraId="3EB6BF8F" w14:textId="77777777" w:rsidTr="0069579D">
        <w:tc>
          <w:tcPr>
            <w:tcW w:w="4532" w:type="dxa"/>
          </w:tcPr>
          <w:p w14:paraId="46C03C03" w14:textId="57CB2A63" w:rsidR="00F568E1" w:rsidRDefault="00F568E1" w:rsidP="00F568E1">
            <w:pPr>
              <w:pStyle w:val="NormalWeb"/>
              <w:spacing w:before="200" w:beforeAutospacing="0" w:after="0" w:afterAutospacing="0" w:line="216" w:lineRule="auto"/>
              <w:rPr>
                <w:rFonts w:asciiTheme="minorHAnsi" w:hAnsiTheme="minorHAnsi" w:cstheme="minorHAnsi"/>
                <w:b/>
                <w:sz w:val="20"/>
                <w:szCs w:val="20"/>
              </w:rPr>
            </w:pPr>
            <w:r w:rsidRPr="000A1E0B">
              <w:rPr>
                <w:rFonts w:asciiTheme="minorHAnsi" w:hAnsiTheme="minorHAnsi" w:cstheme="minorHAnsi"/>
                <w:b/>
                <w:sz w:val="20"/>
                <w:szCs w:val="20"/>
              </w:rPr>
              <w:t xml:space="preserve">Under statutory guidance accompanying the Autism Strategy, SEN Co-ordinators (SENCOs) should inform young people with autism of their right to a community care assessment and their parents of the right to a carer’s assessment. This </w:t>
            </w:r>
            <w:r w:rsidRPr="000A1E0B">
              <w:rPr>
                <w:rFonts w:asciiTheme="minorHAnsi" w:hAnsiTheme="minorHAnsi" w:cstheme="minorHAnsi"/>
                <w:b/>
                <w:sz w:val="20"/>
                <w:szCs w:val="20"/>
              </w:rPr>
              <w:lastRenderedPageBreak/>
              <w:t>should be built into preparing for adulthood review meetings for those with EHC plans</w:t>
            </w:r>
          </w:p>
          <w:p w14:paraId="2825F600" w14:textId="0993CAD9" w:rsidR="00F568E1" w:rsidRPr="00F568E1" w:rsidRDefault="00F568E1" w:rsidP="00F568E1">
            <w:pPr>
              <w:pStyle w:val="NormalWeb"/>
              <w:spacing w:before="200" w:beforeAutospacing="0" w:after="0" w:afterAutospacing="0" w:line="216" w:lineRule="auto"/>
              <w:rPr>
                <w:rFonts w:asciiTheme="minorHAnsi" w:hAnsiTheme="minorHAnsi" w:cstheme="minorHAnsi"/>
              </w:rPr>
            </w:pPr>
            <w:r w:rsidRPr="00F568E1">
              <w:rPr>
                <w:rFonts w:asciiTheme="minorHAnsi" w:hAnsiTheme="minorHAnsi" w:cstheme="minorHAnsi"/>
                <w:sz w:val="20"/>
                <w:szCs w:val="20"/>
              </w:rPr>
              <w:t>Does this happen?</w:t>
            </w:r>
          </w:p>
          <w:p w14:paraId="457525D0" w14:textId="703595C6" w:rsidR="003662B1" w:rsidRPr="00A4666C" w:rsidRDefault="003662B1" w:rsidP="003662B1">
            <w:pPr>
              <w:contextualSpacing/>
              <w:rPr>
                <w:b/>
                <w:sz w:val="20"/>
                <w:szCs w:val="20"/>
              </w:rPr>
            </w:pPr>
          </w:p>
        </w:tc>
        <w:tc>
          <w:tcPr>
            <w:tcW w:w="5528" w:type="dxa"/>
          </w:tcPr>
          <w:p w14:paraId="3A3874E7" w14:textId="282E7148" w:rsidR="003662B1" w:rsidRPr="00A4666C" w:rsidRDefault="00F568E1" w:rsidP="00F568E1">
            <w:pPr>
              <w:rPr>
                <w:sz w:val="20"/>
                <w:szCs w:val="20"/>
              </w:rPr>
            </w:pPr>
            <w:r>
              <w:rPr>
                <w:sz w:val="20"/>
                <w:szCs w:val="20"/>
              </w:rPr>
              <w:lastRenderedPageBreak/>
              <w:t>GMAC have developed transition workshop materials on the Care Act assessment for parents and will be reproducing this as information that will be available on the GMAC website during 2019so local authorities can ensure they let SENCOs know about this</w:t>
            </w:r>
          </w:p>
        </w:tc>
        <w:tc>
          <w:tcPr>
            <w:tcW w:w="4389" w:type="dxa"/>
          </w:tcPr>
          <w:p w14:paraId="22E9A1AE" w14:textId="77777777" w:rsidR="003662B1" w:rsidRDefault="003662B1" w:rsidP="003662B1"/>
        </w:tc>
        <w:tc>
          <w:tcPr>
            <w:tcW w:w="1144" w:type="dxa"/>
          </w:tcPr>
          <w:p w14:paraId="77EC48EE" w14:textId="77777777" w:rsidR="003662B1" w:rsidRDefault="003662B1" w:rsidP="003662B1"/>
        </w:tc>
      </w:tr>
      <w:tr w:rsidR="003662B1" w14:paraId="6B012F3E" w14:textId="77777777" w:rsidTr="0069579D">
        <w:tc>
          <w:tcPr>
            <w:tcW w:w="4532" w:type="dxa"/>
          </w:tcPr>
          <w:p w14:paraId="3DCBB751" w14:textId="77777777" w:rsidR="003662B1" w:rsidRDefault="00F568E1" w:rsidP="00F568E1">
            <w:pPr>
              <w:rPr>
                <w:rFonts w:eastAsia="Times New Roman" w:cstheme="minorHAnsi"/>
                <w:b/>
                <w:color w:val="000000"/>
                <w:sz w:val="20"/>
                <w:szCs w:val="20"/>
                <w:lang w:val="en" w:eastAsia="en-GB"/>
              </w:rPr>
            </w:pPr>
            <w:r>
              <w:rPr>
                <w:rFonts w:cstheme="minorHAnsi"/>
                <w:b/>
                <w:sz w:val="20"/>
                <w:szCs w:val="20"/>
              </w:rPr>
              <w:t xml:space="preserve">Care A 2014 states that </w:t>
            </w:r>
            <w:r w:rsidRPr="000A1E0B">
              <w:rPr>
                <w:rFonts w:eastAsia="Times New Roman" w:cstheme="minorHAnsi"/>
                <w:b/>
                <w:color w:val="000000"/>
                <w:sz w:val="20"/>
                <w:szCs w:val="20"/>
                <w:lang w:val="en" w:eastAsia="en-GB"/>
              </w:rPr>
              <w:t xml:space="preserve">here it appears to a local authority that a child is </w:t>
            </w:r>
            <w:r w:rsidRPr="000A1E0B">
              <w:rPr>
                <w:rFonts w:eastAsia="Times New Roman" w:cstheme="minorHAnsi"/>
                <w:b/>
                <w:color w:val="000000"/>
                <w:sz w:val="20"/>
                <w:szCs w:val="20"/>
                <w:u w:val="single"/>
                <w:lang w:val="en" w:eastAsia="en-GB"/>
              </w:rPr>
              <w:t>likely</w:t>
            </w:r>
            <w:r w:rsidRPr="000A1E0B">
              <w:rPr>
                <w:rFonts w:eastAsia="Times New Roman" w:cstheme="minorHAnsi"/>
                <w:b/>
                <w:color w:val="000000"/>
                <w:sz w:val="20"/>
                <w:szCs w:val="20"/>
                <w:lang w:val="en" w:eastAsia="en-GB"/>
              </w:rPr>
              <w:t xml:space="preserve"> to have needs for care and support after becoming 18, the authority must, if it is satisfied that it would be of </w:t>
            </w:r>
            <w:r w:rsidRPr="000A1E0B">
              <w:rPr>
                <w:rFonts w:eastAsia="Times New Roman" w:cstheme="minorHAnsi"/>
                <w:b/>
                <w:color w:val="000000"/>
                <w:sz w:val="20"/>
                <w:szCs w:val="20"/>
                <w:u w:val="single"/>
                <w:lang w:val="en" w:eastAsia="en-GB"/>
              </w:rPr>
              <w:t>significant benefit</w:t>
            </w:r>
            <w:r w:rsidRPr="000A1E0B">
              <w:rPr>
                <w:rFonts w:eastAsia="Times New Roman" w:cstheme="minorHAnsi"/>
                <w:b/>
                <w:color w:val="000000"/>
                <w:sz w:val="20"/>
                <w:szCs w:val="20"/>
                <w:lang w:val="en" w:eastAsia="en-GB"/>
              </w:rPr>
              <w:t xml:space="preserve"> to the child to do so and if the consent condition is met</w:t>
            </w:r>
          </w:p>
          <w:p w14:paraId="1E3F2970" w14:textId="77777777" w:rsidR="00F568E1" w:rsidRDefault="00F568E1" w:rsidP="00F568E1">
            <w:pPr>
              <w:rPr>
                <w:rFonts w:eastAsia="Times New Roman" w:cstheme="minorHAnsi"/>
                <w:b/>
                <w:color w:val="000000"/>
                <w:sz w:val="20"/>
                <w:szCs w:val="20"/>
                <w:lang w:val="en" w:eastAsia="en-GB"/>
              </w:rPr>
            </w:pPr>
          </w:p>
          <w:p w14:paraId="03DF9669" w14:textId="238FE41A" w:rsidR="00F568E1" w:rsidRPr="00F568E1" w:rsidRDefault="00F568E1" w:rsidP="00F568E1">
            <w:pPr>
              <w:rPr>
                <w:sz w:val="20"/>
                <w:szCs w:val="20"/>
              </w:rPr>
            </w:pPr>
            <w:r w:rsidRPr="00F568E1">
              <w:rPr>
                <w:rFonts w:eastAsia="Times New Roman" w:cstheme="minorHAnsi"/>
                <w:color w:val="000000"/>
                <w:sz w:val="20"/>
                <w:szCs w:val="20"/>
                <w:lang w:val="en" w:eastAsia="en-GB"/>
              </w:rPr>
              <w:t>How does this happen in your area?</w:t>
            </w:r>
          </w:p>
        </w:tc>
        <w:tc>
          <w:tcPr>
            <w:tcW w:w="5528" w:type="dxa"/>
          </w:tcPr>
          <w:p w14:paraId="3399FC3B" w14:textId="52BFCA6F" w:rsidR="003662B1" w:rsidRPr="00A4666C" w:rsidRDefault="003662B1" w:rsidP="003662B1">
            <w:pPr>
              <w:rPr>
                <w:sz w:val="20"/>
                <w:szCs w:val="20"/>
              </w:rPr>
            </w:pPr>
          </w:p>
        </w:tc>
        <w:tc>
          <w:tcPr>
            <w:tcW w:w="4389" w:type="dxa"/>
          </w:tcPr>
          <w:p w14:paraId="356E4537" w14:textId="77777777" w:rsidR="003662B1" w:rsidRDefault="003662B1" w:rsidP="003662B1"/>
        </w:tc>
        <w:tc>
          <w:tcPr>
            <w:tcW w:w="1144" w:type="dxa"/>
          </w:tcPr>
          <w:p w14:paraId="62622A64" w14:textId="77777777" w:rsidR="003662B1" w:rsidRDefault="003662B1" w:rsidP="003662B1"/>
        </w:tc>
      </w:tr>
      <w:tr w:rsidR="003662B1" w14:paraId="34FA0867" w14:textId="77777777" w:rsidTr="0069579D">
        <w:tc>
          <w:tcPr>
            <w:tcW w:w="4532" w:type="dxa"/>
          </w:tcPr>
          <w:p w14:paraId="60C8E37B" w14:textId="77777777" w:rsidR="00F568E1" w:rsidRPr="00F568E1" w:rsidRDefault="00F568E1" w:rsidP="00F568E1">
            <w:pPr>
              <w:shd w:val="clear" w:color="auto" w:fill="FFFFFF"/>
              <w:spacing w:after="120" w:line="360" w:lineRule="atLeast"/>
              <w:rPr>
                <w:rFonts w:eastAsia="Times New Roman" w:cstheme="minorHAnsi"/>
                <w:b/>
                <w:color w:val="000000"/>
                <w:sz w:val="20"/>
                <w:szCs w:val="20"/>
                <w:lang w:val="en" w:eastAsia="en-GB"/>
              </w:rPr>
            </w:pPr>
            <w:r w:rsidRPr="00F568E1">
              <w:rPr>
                <w:rFonts w:eastAsia="Times New Roman" w:cstheme="minorHAnsi"/>
                <w:b/>
                <w:color w:val="000000"/>
                <w:sz w:val="20"/>
                <w:szCs w:val="20"/>
                <w:lang w:val="en" w:eastAsia="en-GB"/>
              </w:rPr>
              <w:t>If refusing to assess the LA must give a reason why</w:t>
            </w:r>
          </w:p>
          <w:p w14:paraId="277E5376" w14:textId="7D156E48" w:rsidR="003662B1" w:rsidRPr="00A4666C" w:rsidRDefault="00F568E1" w:rsidP="00F568E1">
            <w:pPr>
              <w:rPr>
                <w:sz w:val="20"/>
                <w:szCs w:val="20"/>
              </w:rPr>
            </w:pPr>
            <w:r>
              <w:rPr>
                <w:sz w:val="20"/>
                <w:szCs w:val="20"/>
              </w:rPr>
              <w:t xml:space="preserve">Does this happen and if so how? </w:t>
            </w:r>
          </w:p>
        </w:tc>
        <w:tc>
          <w:tcPr>
            <w:tcW w:w="5528" w:type="dxa"/>
          </w:tcPr>
          <w:p w14:paraId="3454AC1C" w14:textId="77777777" w:rsidR="003662B1" w:rsidRPr="00A4666C" w:rsidRDefault="003662B1" w:rsidP="003662B1">
            <w:pPr>
              <w:rPr>
                <w:sz w:val="20"/>
                <w:szCs w:val="20"/>
              </w:rPr>
            </w:pPr>
          </w:p>
        </w:tc>
        <w:tc>
          <w:tcPr>
            <w:tcW w:w="4389" w:type="dxa"/>
          </w:tcPr>
          <w:p w14:paraId="2F5B8AA2" w14:textId="77777777" w:rsidR="003662B1" w:rsidRDefault="003662B1" w:rsidP="003662B1"/>
        </w:tc>
        <w:tc>
          <w:tcPr>
            <w:tcW w:w="1144" w:type="dxa"/>
          </w:tcPr>
          <w:p w14:paraId="65E2483C" w14:textId="77777777" w:rsidR="003662B1" w:rsidRDefault="003662B1" w:rsidP="003662B1"/>
        </w:tc>
      </w:tr>
      <w:tr w:rsidR="00F568E1" w14:paraId="2964D7DF" w14:textId="77777777" w:rsidTr="0069579D">
        <w:tc>
          <w:tcPr>
            <w:tcW w:w="4532" w:type="dxa"/>
          </w:tcPr>
          <w:p w14:paraId="53C3EC7B" w14:textId="77777777" w:rsidR="00F568E1" w:rsidRPr="00F568E1" w:rsidRDefault="00F568E1" w:rsidP="00F568E1">
            <w:pPr>
              <w:kinsoku w:val="0"/>
              <w:overflowPunct w:val="0"/>
              <w:textAlignment w:val="baseline"/>
              <w:rPr>
                <w:rFonts w:eastAsia="Times New Roman" w:cstheme="minorHAnsi"/>
                <w:sz w:val="20"/>
                <w:szCs w:val="20"/>
                <w:lang w:eastAsia="en-GB"/>
              </w:rPr>
            </w:pPr>
            <w:r w:rsidRPr="00F568E1">
              <w:rPr>
                <w:rFonts w:eastAsia="Times New Roman" w:cstheme="minorHAnsi"/>
                <w:b/>
                <w:sz w:val="20"/>
                <w:szCs w:val="20"/>
                <w:lang w:eastAsia="en-GB"/>
              </w:rPr>
              <w:t>Assessment should include a section on whether the carer is willing and able to care for the young person after 18</w:t>
            </w:r>
          </w:p>
          <w:p w14:paraId="0BF6ED88" w14:textId="6FC38A0A" w:rsidR="00F568E1" w:rsidRPr="00F568E1" w:rsidRDefault="00F568E1" w:rsidP="00F568E1">
            <w:pPr>
              <w:shd w:val="clear" w:color="auto" w:fill="FFFFFF"/>
              <w:spacing w:after="120" w:line="360" w:lineRule="atLeast"/>
              <w:rPr>
                <w:rFonts w:eastAsia="Times New Roman" w:cstheme="minorHAnsi"/>
                <w:color w:val="000000"/>
                <w:sz w:val="20"/>
                <w:szCs w:val="20"/>
                <w:lang w:val="en" w:eastAsia="en-GB"/>
              </w:rPr>
            </w:pPr>
            <w:r w:rsidRPr="00F568E1">
              <w:rPr>
                <w:rFonts w:eastAsia="Times New Roman" w:cstheme="minorHAnsi"/>
                <w:color w:val="000000"/>
                <w:sz w:val="20"/>
                <w:szCs w:val="20"/>
                <w:lang w:val="en" w:eastAsia="en-GB"/>
              </w:rPr>
              <w:t>Does this happen?</w:t>
            </w:r>
          </w:p>
        </w:tc>
        <w:tc>
          <w:tcPr>
            <w:tcW w:w="5528" w:type="dxa"/>
          </w:tcPr>
          <w:p w14:paraId="1B032498" w14:textId="77777777" w:rsidR="00F568E1" w:rsidRPr="00A4666C" w:rsidRDefault="00F568E1" w:rsidP="003662B1">
            <w:pPr>
              <w:rPr>
                <w:sz w:val="20"/>
                <w:szCs w:val="20"/>
              </w:rPr>
            </w:pPr>
          </w:p>
        </w:tc>
        <w:tc>
          <w:tcPr>
            <w:tcW w:w="4389" w:type="dxa"/>
          </w:tcPr>
          <w:p w14:paraId="629F98CF" w14:textId="77777777" w:rsidR="00F568E1" w:rsidRDefault="00F568E1" w:rsidP="003662B1"/>
        </w:tc>
        <w:tc>
          <w:tcPr>
            <w:tcW w:w="1144" w:type="dxa"/>
          </w:tcPr>
          <w:p w14:paraId="1FB622E1" w14:textId="77777777" w:rsidR="00F568E1" w:rsidRDefault="00F568E1" w:rsidP="003662B1"/>
        </w:tc>
      </w:tr>
      <w:tr w:rsidR="00472A1F" w14:paraId="76C1473B" w14:textId="77777777" w:rsidTr="0069579D">
        <w:tc>
          <w:tcPr>
            <w:tcW w:w="4532" w:type="dxa"/>
          </w:tcPr>
          <w:p w14:paraId="38D8C196" w14:textId="084BB777" w:rsidR="00472A1F" w:rsidRDefault="00472A1F" w:rsidP="00472A1F">
            <w:pPr>
              <w:kinsoku w:val="0"/>
              <w:overflowPunct w:val="0"/>
              <w:textAlignment w:val="baseline"/>
              <w:rPr>
                <w:rFonts w:eastAsiaTheme="minorEastAsia" w:cstheme="minorHAnsi"/>
                <w:b/>
                <w:color w:val="000000" w:themeColor="text1"/>
                <w:sz w:val="20"/>
                <w:szCs w:val="20"/>
                <w:lang w:eastAsia="en-GB"/>
              </w:rPr>
            </w:pPr>
            <w:r w:rsidRPr="00472A1F">
              <w:rPr>
                <w:rFonts w:eastAsiaTheme="minorEastAsia" w:cstheme="minorHAnsi"/>
                <w:b/>
                <w:color w:val="000000" w:themeColor="text1"/>
                <w:sz w:val="20"/>
                <w:szCs w:val="20"/>
                <w:lang w:eastAsia="en-GB"/>
              </w:rPr>
              <w:t>Young people with an Education Health &amp; Care (EHC) plan should have this</w:t>
            </w:r>
            <w:r>
              <w:rPr>
                <w:rFonts w:eastAsiaTheme="minorEastAsia" w:cstheme="minorHAnsi"/>
                <w:b/>
                <w:color w:val="000000" w:themeColor="text1"/>
                <w:sz w:val="20"/>
                <w:szCs w:val="20"/>
                <w:lang w:eastAsia="en-GB"/>
              </w:rPr>
              <w:t xml:space="preserve"> (care act assessment)</w:t>
            </w:r>
            <w:r w:rsidRPr="00472A1F">
              <w:rPr>
                <w:rFonts w:eastAsiaTheme="minorEastAsia" w:cstheme="minorHAnsi"/>
                <w:b/>
                <w:color w:val="000000" w:themeColor="text1"/>
                <w:sz w:val="20"/>
                <w:szCs w:val="20"/>
                <w:lang w:eastAsia="en-GB"/>
              </w:rPr>
              <w:t xml:space="preserve"> as part of an annual reviews that take place from Year 9 onwards</w:t>
            </w:r>
          </w:p>
          <w:p w14:paraId="540CE212" w14:textId="0D49A8EE" w:rsidR="00472A1F" w:rsidRDefault="00472A1F" w:rsidP="00472A1F">
            <w:pPr>
              <w:kinsoku w:val="0"/>
              <w:overflowPunct w:val="0"/>
              <w:textAlignment w:val="baseline"/>
              <w:rPr>
                <w:rFonts w:eastAsiaTheme="minorEastAsia" w:cstheme="minorHAnsi"/>
                <w:b/>
                <w:color w:val="000000" w:themeColor="text1"/>
                <w:sz w:val="20"/>
                <w:szCs w:val="20"/>
                <w:lang w:eastAsia="en-GB"/>
              </w:rPr>
            </w:pPr>
          </w:p>
          <w:p w14:paraId="5DE26483" w14:textId="7FFCAD5C" w:rsidR="00472A1F" w:rsidRPr="00472A1F" w:rsidRDefault="00472A1F" w:rsidP="00472A1F">
            <w:pPr>
              <w:kinsoku w:val="0"/>
              <w:overflowPunct w:val="0"/>
              <w:textAlignment w:val="baseline"/>
              <w:rPr>
                <w:rFonts w:eastAsia="Times New Roman" w:cstheme="minorHAnsi"/>
                <w:sz w:val="20"/>
                <w:szCs w:val="20"/>
                <w:lang w:eastAsia="en-GB"/>
              </w:rPr>
            </w:pPr>
            <w:r w:rsidRPr="00472A1F">
              <w:rPr>
                <w:rFonts w:eastAsiaTheme="minorEastAsia" w:cstheme="minorHAnsi"/>
                <w:color w:val="000000" w:themeColor="text1"/>
                <w:sz w:val="20"/>
                <w:szCs w:val="20"/>
                <w:lang w:eastAsia="en-GB"/>
              </w:rPr>
              <w:t>Does this happen?</w:t>
            </w:r>
          </w:p>
          <w:p w14:paraId="18456071" w14:textId="77777777" w:rsidR="00472A1F" w:rsidRPr="00F568E1" w:rsidRDefault="00472A1F" w:rsidP="00F568E1">
            <w:pPr>
              <w:kinsoku w:val="0"/>
              <w:overflowPunct w:val="0"/>
              <w:textAlignment w:val="baseline"/>
              <w:rPr>
                <w:rFonts w:eastAsia="Times New Roman" w:cstheme="minorHAnsi"/>
                <w:b/>
                <w:sz w:val="20"/>
                <w:szCs w:val="20"/>
                <w:lang w:eastAsia="en-GB"/>
              </w:rPr>
            </w:pPr>
          </w:p>
        </w:tc>
        <w:tc>
          <w:tcPr>
            <w:tcW w:w="5528" w:type="dxa"/>
          </w:tcPr>
          <w:p w14:paraId="38918C58" w14:textId="77777777" w:rsidR="00472A1F" w:rsidRPr="00A4666C" w:rsidRDefault="00472A1F" w:rsidP="003662B1">
            <w:pPr>
              <w:rPr>
                <w:sz w:val="20"/>
                <w:szCs w:val="20"/>
              </w:rPr>
            </w:pPr>
          </w:p>
        </w:tc>
        <w:tc>
          <w:tcPr>
            <w:tcW w:w="4389" w:type="dxa"/>
          </w:tcPr>
          <w:p w14:paraId="42C1ECC7" w14:textId="77777777" w:rsidR="00472A1F" w:rsidRDefault="00472A1F" w:rsidP="003662B1"/>
        </w:tc>
        <w:tc>
          <w:tcPr>
            <w:tcW w:w="1144" w:type="dxa"/>
          </w:tcPr>
          <w:p w14:paraId="24A55BD9" w14:textId="77777777" w:rsidR="00472A1F" w:rsidRDefault="00472A1F" w:rsidP="003662B1"/>
        </w:tc>
      </w:tr>
    </w:tbl>
    <w:p w14:paraId="590EA75C" w14:textId="77777777" w:rsidR="00EC544D" w:rsidRDefault="00EC544D"/>
    <w:p w14:paraId="22375FA5" w14:textId="77777777" w:rsidR="00EC544D" w:rsidRDefault="00EC544D"/>
    <w:p w14:paraId="2D189205" w14:textId="77777777" w:rsidR="003D5323" w:rsidRDefault="003D5323"/>
    <w:sectPr w:rsidR="003D5323" w:rsidSect="00EC544D">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2CE5" w14:textId="77777777" w:rsidR="00EC544D" w:rsidRDefault="00EC544D" w:rsidP="00EC544D">
      <w:pPr>
        <w:spacing w:after="0" w:line="240" w:lineRule="auto"/>
      </w:pPr>
      <w:r>
        <w:separator/>
      </w:r>
    </w:p>
  </w:endnote>
  <w:endnote w:type="continuationSeparator" w:id="0">
    <w:p w14:paraId="27B6CC08" w14:textId="77777777" w:rsidR="00EC544D" w:rsidRDefault="00EC544D" w:rsidP="00EC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9F85" w14:textId="77777777" w:rsidR="00EC544D" w:rsidRDefault="00EC544D" w:rsidP="00EC544D">
      <w:pPr>
        <w:spacing w:after="0" w:line="240" w:lineRule="auto"/>
      </w:pPr>
      <w:r>
        <w:separator/>
      </w:r>
    </w:p>
  </w:footnote>
  <w:footnote w:type="continuationSeparator" w:id="0">
    <w:p w14:paraId="0FFC5358" w14:textId="77777777" w:rsidR="00EC544D" w:rsidRDefault="00EC544D" w:rsidP="00EC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5226" w14:textId="77777777" w:rsidR="00EC544D" w:rsidRDefault="00EC544D">
    <w:pPr>
      <w:pStyle w:val="ListParagrap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1BF9"/>
    <w:multiLevelType w:val="hybridMultilevel"/>
    <w:tmpl w:val="04929148"/>
    <w:lvl w:ilvl="0" w:tplc="E0C21796">
      <w:start w:val="1"/>
      <w:numFmt w:val="decimal"/>
      <w:lvlText w:val="%1."/>
      <w:lvlJc w:val="left"/>
      <w:pPr>
        <w:ind w:left="644"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B55707"/>
    <w:multiLevelType w:val="hybridMultilevel"/>
    <w:tmpl w:val="A950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4D"/>
    <w:rsid w:val="000C01E6"/>
    <w:rsid w:val="00163808"/>
    <w:rsid w:val="003662B1"/>
    <w:rsid w:val="003D5323"/>
    <w:rsid w:val="00434103"/>
    <w:rsid w:val="00472A1F"/>
    <w:rsid w:val="00616E2F"/>
    <w:rsid w:val="0069579D"/>
    <w:rsid w:val="008B0AE7"/>
    <w:rsid w:val="00A4666C"/>
    <w:rsid w:val="00EC544D"/>
    <w:rsid w:val="00F568E1"/>
    <w:rsid w:val="00F902A3"/>
    <w:rsid w:val="00FF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6D74"/>
  <w15:chartTrackingRefBased/>
  <w15:docId w15:val="{677BEF7F-6C0A-45C9-AA5C-F8CE1E7D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4D"/>
    <w:pPr>
      <w:ind w:left="720"/>
      <w:contextualSpacing/>
    </w:pPr>
  </w:style>
  <w:style w:type="character" w:styleId="CommentReference">
    <w:name w:val="annotation reference"/>
    <w:basedOn w:val="DefaultParagraphFont"/>
    <w:uiPriority w:val="99"/>
    <w:semiHidden/>
    <w:unhideWhenUsed/>
    <w:rsid w:val="00EC544D"/>
    <w:rPr>
      <w:sz w:val="16"/>
      <w:szCs w:val="16"/>
    </w:rPr>
  </w:style>
  <w:style w:type="paragraph" w:styleId="CommentText">
    <w:name w:val="annotation text"/>
    <w:basedOn w:val="Normal"/>
    <w:link w:val="CommentTextChar"/>
    <w:uiPriority w:val="99"/>
    <w:semiHidden/>
    <w:unhideWhenUsed/>
    <w:rsid w:val="00EC544D"/>
    <w:pPr>
      <w:spacing w:line="240" w:lineRule="auto"/>
    </w:pPr>
    <w:rPr>
      <w:sz w:val="20"/>
      <w:szCs w:val="20"/>
    </w:rPr>
  </w:style>
  <w:style w:type="character" w:customStyle="1" w:styleId="CommentTextChar">
    <w:name w:val="Comment Text Char"/>
    <w:basedOn w:val="DefaultParagraphFont"/>
    <w:link w:val="CommentText"/>
    <w:uiPriority w:val="99"/>
    <w:semiHidden/>
    <w:rsid w:val="00EC544D"/>
    <w:rPr>
      <w:sz w:val="20"/>
      <w:szCs w:val="20"/>
    </w:rPr>
  </w:style>
  <w:style w:type="paragraph" w:styleId="BalloonText">
    <w:name w:val="Balloon Text"/>
    <w:basedOn w:val="Normal"/>
    <w:link w:val="BalloonTextChar"/>
    <w:uiPriority w:val="99"/>
    <w:semiHidden/>
    <w:unhideWhenUsed/>
    <w:rsid w:val="00EC5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4D"/>
    <w:rPr>
      <w:rFonts w:ascii="Segoe UI" w:hAnsi="Segoe UI" w:cs="Segoe UI"/>
      <w:sz w:val="18"/>
      <w:szCs w:val="18"/>
    </w:rPr>
  </w:style>
  <w:style w:type="paragraph" w:styleId="NormalWeb">
    <w:name w:val="Normal (Web)"/>
    <w:basedOn w:val="Normal"/>
    <w:uiPriority w:val="99"/>
    <w:unhideWhenUsed/>
    <w:rsid w:val="004341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FA51EC54</Template>
  <TotalTime>43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National Autistic Society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Mari Saeki</cp:lastModifiedBy>
  <cp:revision>4</cp:revision>
  <dcterms:created xsi:type="dcterms:W3CDTF">2018-11-08T11:49:00Z</dcterms:created>
  <dcterms:modified xsi:type="dcterms:W3CDTF">2018-11-08T15:50:00Z</dcterms:modified>
</cp:coreProperties>
</file>